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D617" w14:textId="75902D15" w:rsidR="00582B71" w:rsidRDefault="005A5DDC">
      <w:r>
        <w:t xml:space="preserve"> </w:t>
      </w:r>
      <w:r w:rsidR="00582B71">
        <w:t>Factors to be considered:</w:t>
      </w:r>
    </w:p>
    <w:p w14:paraId="7B642E75" w14:textId="77777777" w:rsidR="00582B71" w:rsidRDefault="00582B71"/>
    <w:p w14:paraId="4D573351" w14:textId="77777777" w:rsidR="00620158" w:rsidRDefault="00582B71">
      <w:r>
        <w:t xml:space="preserve">the New Mexico Public Regulation Commission applies six factors in its evaluation of whether utility mergers and acquisitions satisfy the public interest under NMSA 1978, §62-6-12 and §62-6-13. </w:t>
      </w:r>
    </w:p>
    <w:p w14:paraId="25588B29" w14:textId="77777777" w:rsidR="00620158" w:rsidRDefault="00582B71" w:rsidP="00620158">
      <w:pPr>
        <w:pStyle w:val="ListParagraph"/>
        <w:numPr>
          <w:ilvl w:val="0"/>
          <w:numId w:val="12"/>
        </w:numPr>
      </w:pPr>
      <w:r>
        <w:t>Whether the transaction provides benefits to utility customers;</w:t>
      </w:r>
    </w:p>
    <w:p w14:paraId="50DF6A7A" w14:textId="77777777" w:rsidR="00620158" w:rsidRDefault="00582B71" w:rsidP="00620158">
      <w:pPr>
        <w:pStyle w:val="ListParagraph"/>
        <w:numPr>
          <w:ilvl w:val="0"/>
          <w:numId w:val="12"/>
        </w:numPr>
      </w:pPr>
      <w:r>
        <w:t>Whether the Commission’s jurisdiction will be preserved;</w:t>
      </w:r>
    </w:p>
    <w:p w14:paraId="2604A835" w14:textId="77777777" w:rsidR="00620158" w:rsidRDefault="00582B71" w:rsidP="00620158">
      <w:pPr>
        <w:pStyle w:val="ListParagraph"/>
        <w:numPr>
          <w:ilvl w:val="0"/>
          <w:numId w:val="12"/>
        </w:numPr>
      </w:pPr>
      <w:r>
        <w:t>Whether the quality of service will be diminished;</w:t>
      </w:r>
    </w:p>
    <w:p w14:paraId="1BB5C396" w14:textId="77777777" w:rsidR="00620158" w:rsidRDefault="00620158" w:rsidP="00620158">
      <w:pPr>
        <w:ind w:left="360"/>
      </w:pPr>
      <w:r>
        <w:t>4</w:t>
      </w:r>
      <w:r w:rsidR="00582B71">
        <w:t xml:space="preserve">. </w:t>
      </w:r>
      <w:r>
        <w:t xml:space="preserve">  </w:t>
      </w:r>
      <w:r w:rsidR="00582B71">
        <w:t>Whether the transaction will result in the improper subsidization of non-utility</w:t>
      </w:r>
      <w:r>
        <w:t xml:space="preserve"> </w:t>
      </w:r>
      <w:r w:rsidR="00582B71">
        <w:t>activities;</w:t>
      </w:r>
    </w:p>
    <w:p w14:paraId="271D0C2A" w14:textId="77777777" w:rsidR="00620158" w:rsidRDefault="00582B71" w:rsidP="00620158">
      <w:pPr>
        <w:ind w:left="360"/>
      </w:pPr>
      <w:r>
        <w:t>5.</w:t>
      </w:r>
      <w:r w:rsidR="00620158">
        <w:t xml:space="preserve"> </w:t>
      </w:r>
      <w:r>
        <w:t xml:space="preserve"> Careful verification of the qualifications and financial health of the new owner; and</w:t>
      </w:r>
    </w:p>
    <w:p w14:paraId="2068635A" w14:textId="77777777" w:rsidR="00620158" w:rsidRDefault="00582B71" w:rsidP="00620158">
      <w:pPr>
        <w:ind w:left="360"/>
      </w:pPr>
      <w:r>
        <w:t>6. Adequacy of protections against harm to customers.</w:t>
      </w:r>
    </w:p>
    <w:p w14:paraId="5FB84118" w14:textId="77777777" w:rsidR="00620158" w:rsidRDefault="00620158" w:rsidP="00620158">
      <w:pPr>
        <w:ind w:left="360"/>
      </w:pPr>
    </w:p>
    <w:p w14:paraId="3AA627E9" w14:textId="77777777" w:rsidR="00582B71" w:rsidRDefault="00582B71" w:rsidP="00620158">
      <w:pPr>
        <w:ind w:left="360"/>
      </w:pPr>
      <w:r>
        <w:t>The Commission weighs the benefits of a proposed transaction in its evaluation under Factor 1against the potential harms and the adequacy of protections against the harms in its evaluations</w:t>
      </w:r>
      <w:r w:rsidR="00620158">
        <w:t xml:space="preserve"> </w:t>
      </w:r>
      <w:r>
        <w:t>under Factors 2-6.</w:t>
      </w:r>
    </w:p>
    <w:p w14:paraId="1355E898" w14:textId="77777777" w:rsidR="00582B71" w:rsidRPr="00582B71" w:rsidRDefault="00582B71" w:rsidP="00582B71">
      <w:pPr>
        <w:spacing w:before="100" w:beforeAutospacing="1" w:after="100" w:afterAutospacing="1"/>
      </w:pPr>
      <w:r w:rsidRPr="00582B71">
        <w:t xml:space="preserve">Here's a clear and concise summary of the </w:t>
      </w:r>
      <w:r w:rsidRPr="00582B71">
        <w:rPr>
          <w:b/>
          <w:bCs/>
        </w:rPr>
        <w:t>six factors</w:t>
      </w:r>
      <w:r w:rsidRPr="00582B71">
        <w:t xml:space="preserve"> the New Mexico Public Regulation Commission (PRC) considers when evaluating whether </w:t>
      </w:r>
      <w:r w:rsidRPr="00582B71">
        <w:rPr>
          <w:b/>
          <w:bCs/>
        </w:rPr>
        <w:t>utility mergers and acquisitions</w:t>
      </w:r>
      <w:r w:rsidRPr="00582B71">
        <w:t xml:space="preserve"> serve the public interest under </w:t>
      </w:r>
      <w:r w:rsidRPr="00582B71">
        <w:rPr>
          <w:b/>
          <w:bCs/>
        </w:rPr>
        <w:t>NMSA 1978, §§ 62-6-12 and 62-6-13</w:t>
      </w:r>
      <w:r w:rsidRPr="00582B71">
        <w:t>:</w:t>
      </w:r>
    </w:p>
    <w:p w14:paraId="61C8C59D" w14:textId="77777777" w:rsidR="00582B71" w:rsidRPr="00582B71" w:rsidRDefault="001F3C94" w:rsidP="00582B71">
      <w:r>
        <w:rPr>
          <w:noProof/>
          <w14:ligatures w14:val="standardContextual"/>
        </w:rPr>
      </w:r>
      <w:r w:rsidR="001F3C94">
        <w:rPr>
          <w:noProof/>
          <w14:ligatures w14:val="standardContextual"/>
        </w:rPr>
        <w:pict w14:anchorId="7DDCE8D9">
          <v:rect id="_x0000_i1025" alt="" style="width:468pt;height:.05pt;mso-width-percent:0;mso-height-percent:0;mso-width-percent:0;mso-height-percent:0" o:hralign="center" o:hrstd="t" o:hr="t" fillcolor="#a0a0a0" stroked="f"/>
        </w:pict>
      </w:r>
    </w:p>
    <w:p w14:paraId="6E52134A" w14:textId="77777777" w:rsidR="00582B71" w:rsidRPr="00582B71" w:rsidRDefault="00582B71" w:rsidP="00582B71">
      <w:pPr>
        <w:spacing w:before="100" w:beforeAutospacing="1" w:after="100" w:afterAutospacing="1"/>
        <w:outlineLvl w:val="2"/>
        <w:rPr>
          <w:b/>
          <w:bCs/>
          <w:sz w:val="27"/>
          <w:szCs w:val="27"/>
        </w:rPr>
      </w:pPr>
      <w:r w:rsidRPr="00582B71">
        <w:rPr>
          <w:b/>
          <w:bCs/>
          <w:sz w:val="27"/>
          <w:szCs w:val="27"/>
        </w:rPr>
        <w:t>New Mexico PRC’s Six-Factor Test for Utility Mergers and Acquisitions</w:t>
      </w:r>
    </w:p>
    <w:p w14:paraId="5DBAF65E" w14:textId="77777777" w:rsidR="00582B71" w:rsidRPr="00582B71" w:rsidRDefault="00582B71" w:rsidP="00582B71">
      <w:pPr>
        <w:numPr>
          <w:ilvl w:val="0"/>
          <w:numId w:val="1"/>
        </w:numPr>
        <w:spacing w:before="100" w:beforeAutospacing="1" w:after="100" w:afterAutospacing="1"/>
      </w:pPr>
      <w:r w:rsidRPr="00582B71">
        <w:rPr>
          <w:b/>
          <w:bCs/>
        </w:rPr>
        <w:t>Customer Benefits</w:t>
      </w:r>
      <w:r w:rsidRPr="00582B71">
        <w:br/>
        <w:t xml:space="preserve">Whether the transaction provides tangible or intangible </w:t>
      </w:r>
      <w:r w:rsidRPr="00582B71">
        <w:rPr>
          <w:b/>
          <w:bCs/>
        </w:rPr>
        <w:t>benefits to utility customers</w:t>
      </w:r>
      <w:r w:rsidRPr="00582B71">
        <w:t>, such as lower rates, improved service, increased access to clean energy, or other public interest outcomes.</w:t>
      </w:r>
    </w:p>
    <w:p w14:paraId="688A50FC" w14:textId="77777777" w:rsidR="00582B71" w:rsidRPr="00582B71" w:rsidRDefault="00582B71" w:rsidP="00582B71">
      <w:pPr>
        <w:numPr>
          <w:ilvl w:val="0"/>
          <w:numId w:val="1"/>
        </w:numPr>
        <w:spacing w:before="100" w:beforeAutospacing="1" w:after="100" w:afterAutospacing="1"/>
      </w:pPr>
      <w:r w:rsidRPr="00582B71">
        <w:rPr>
          <w:b/>
          <w:bCs/>
        </w:rPr>
        <w:t>Preservation of Commission Jurisdiction</w:t>
      </w:r>
      <w:r w:rsidRPr="00582B71">
        <w:br/>
        <w:t xml:space="preserve">Whether the PRC’s </w:t>
      </w:r>
      <w:r w:rsidRPr="00582B71">
        <w:rPr>
          <w:b/>
          <w:bCs/>
        </w:rPr>
        <w:t>regulatory authority remains intact</w:t>
      </w:r>
      <w:r w:rsidRPr="00582B71">
        <w:t xml:space="preserve"> post-transaction, ensuring continued oversight and accountability.</w:t>
      </w:r>
    </w:p>
    <w:p w14:paraId="1D51AF69" w14:textId="77777777" w:rsidR="00582B71" w:rsidRPr="00582B71" w:rsidRDefault="00582B71" w:rsidP="00582B71">
      <w:pPr>
        <w:numPr>
          <w:ilvl w:val="0"/>
          <w:numId w:val="1"/>
        </w:numPr>
        <w:spacing w:before="100" w:beforeAutospacing="1" w:after="100" w:afterAutospacing="1"/>
      </w:pPr>
      <w:r w:rsidRPr="00582B71">
        <w:rPr>
          <w:b/>
          <w:bCs/>
        </w:rPr>
        <w:t>Quality of Service</w:t>
      </w:r>
      <w:r w:rsidRPr="00582B71">
        <w:br/>
        <w:t xml:space="preserve">Whether the transaction </w:t>
      </w:r>
      <w:r w:rsidRPr="00582B71">
        <w:rPr>
          <w:b/>
          <w:bCs/>
        </w:rPr>
        <w:t>diminishes, maintains, or enhances</w:t>
      </w:r>
      <w:r w:rsidRPr="00582B71">
        <w:t xml:space="preserve"> the utility’s </w:t>
      </w:r>
      <w:r w:rsidRPr="00582B71">
        <w:rPr>
          <w:b/>
          <w:bCs/>
        </w:rPr>
        <w:t>quality of service</w:t>
      </w:r>
      <w:r w:rsidRPr="00582B71">
        <w:t>.</w:t>
      </w:r>
    </w:p>
    <w:p w14:paraId="61C31D25" w14:textId="77777777" w:rsidR="00582B71" w:rsidRPr="00582B71" w:rsidRDefault="00582B71" w:rsidP="00582B71">
      <w:pPr>
        <w:numPr>
          <w:ilvl w:val="0"/>
          <w:numId w:val="1"/>
        </w:numPr>
        <w:spacing w:before="100" w:beforeAutospacing="1" w:after="100" w:afterAutospacing="1"/>
      </w:pPr>
      <w:r w:rsidRPr="00582B71">
        <w:rPr>
          <w:b/>
          <w:bCs/>
        </w:rPr>
        <w:t>Subsidization of Non-Utility Activities</w:t>
      </w:r>
      <w:r w:rsidRPr="00582B71">
        <w:br/>
        <w:t xml:space="preserve">Whether the transaction leads to the </w:t>
      </w:r>
      <w:r w:rsidRPr="00582B71">
        <w:rPr>
          <w:b/>
          <w:bCs/>
        </w:rPr>
        <w:t>improper subsidization</w:t>
      </w:r>
      <w:r w:rsidRPr="00582B71">
        <w:t xml:space="preserve"> of unregulated or non-utility affiliates, potentially at the expense of ratepayers.</w:t>
      </w:r>
    </w:p>
    <w:p w14:paraId="1541F1A8" w14:textId="77777777" w:rsidR="00582B71" w:rsidRPr="00582B71" w:rsidRDefault="00582B71" w:rsidP="00582B71">
      <w:pPr>
        <w:numPr>
          <w:ilvl w:val="0"/>
          <w:numId w:val="1"/>
        </w:numPr>
        <w:spacing w:before="100" w:beforeAutospacing="1" w:after="100" w:afterAutospacing="1"/>
      </w:pPr>
      <w:r w:rsidRPr="00582B71">
        <w:rPr>
          <w:b/>
          <w:bCs/>
        </w:rPr>
        <w:t>New Owner’s Qualifications and Financial Health</w:t>
      </w:r>
      <w:r w:rsidRPr="00582B71">
        <w:br/>
        <w:t xml:space="preserve">Whether the acquiring party or new owner is </w:t>
      </w:r>
      <w:r w:rsidRPr="00582B71">
        <w:rPr>
          <w:b/>
          <w:bCs/>
        </w:rPr>
        <w:t>financially stable and technically competent</w:t>
      </w:r>
      <w:r w:rsidRPr="00582B71">
        <w:t xml:space="preserve"> to operate the utility reliably and in compliance with regulatory standards.</w:t>
      </w:r>
    </w:p>
    <w:p w14:paraId="1DE06C03" w14:textId="77777777" w:rsidR="00582B71" w:rsidRPr="00582B71" w:rsidRDefault="00582B71" w:rsidP="00582B71">
      <w:pPr>
        <w:numPr>
          <w:ilvl w:val="0"/>
          <w:numId w:val="1"/>
        </w:numPr>
        <w:spacing w:before="100" w:beforeAutospacing="1" w:after="100" w:afterAutospacing="1"/>
      </w:pPr>
      <w:r w:rsidRPr="00582B71">
        <w:rPr>
          <w:b/>
          <w:bCs/>
        </w:rPr>
        <w:t>Customer Protections Against Harm</w:t>
      </w:r>
      <w:r w:rsidRPr="00582B71">
        <w:br/>
        <w:t xml:space="preserve">Whether there are </w:t>
      </w:r>
      <w:r w:rsidRPr="00582B71">
        <w:rPr>
          <w:b/>
          <w:bCs/>
        </w:rPr>
        <w:t>adequate safeguards</w:t>
      </w:r>
      <w:r w:rsidRPr="00582B71">
        <w:t xml:space="preserve"> in place to protect customers from </w:t>
      </w:r>
      <w:r w:rsidRPr="00582B71">
        <w:rPr>
          <w:b/>
          <w:bCs/>
        </w:rPr>
        <w:t>potential harms</w:t>
      </w:r>
      <w:r w:rsidRPr="00582B71">
        <w:t xml:space="preserve"> arising from the transaction (e.g., rate hikes, service degradation, or stranded costs).</w:t>
      </w:r>
    </w:p>
    <w:p w14:paraId="459C687C" w14:textId="77777777" w:rsidR="00582B71" w:rsidRDefault="00582B71"/>
    <w:p w14:paraId="1C613C22" w14:textId="77777777" w:rsidR="00CD227C" w:rsidRDefault="00CD227C"/>
    <w:p w14:paraId="594CAB15" w14:textId="77777777" w:rsidR="00CD227C" w:rsidRPr="00CD227C" w:rsidRDefault="00CD227C" w:rsidP="00CD227C">
      <w:pPr>
        <w:spacing w:before="100" w:beforeAutospacing="1" w:after="100" w:afterAutospacing="1"/>
      </w:pPr>
      <w:r w:rsidRPr="00CD227C">
        <w:t xml:space="preserve">Given the New Mexico Public Regulation Commission's (PRC) </w:t>
      </w:r>
      <w:r w:rsidRPr="00CD227C">
        <w:rPr>
          <w:b/>
          <w:bCs/>
        </w:rPr>
        <w:t>six-factor test</w:t>
      </w:r>
      <w:r w:rsidRPr="00CD227C">
        <w:t xml:space="preserve"> for evaluating utility mergers and acquisitions, Blackstone’s track record—documented in the materials you provided—raises serious concerns under several of the factors. Here’s a detailed evaluation of how Blackstone should be assessed under each factor:</w:t>
      </w:r>
    </w:p>
    <w:p w14:paraId="6D4C3073" w14:textId="77777777" w:rsidR="00CD227C" w:rsidRPr="00CD227C" w:rsidRDefault="001F3C94" w:rsidP="00CD227C">
      <w:r>
        <w:rPr>
          <w:noProof/>
          <w14:ligatures w14:val="standardContextual"/>
        </w:rPr>
      </w:r>
      <w:r w:rsidR="001F3C94">
        <w:rPr>
          <w:noProof/>
          <w14:ligatures w14:val="standardContextual"/>
        </w:rPr>
        <w:pict w14:anchorId="3B7D61B5">
          <v:rect id="_x0000_i1026" alt="" style="width:468pt;height:.05pt;mso-width-percent:0;mso-height-percent:0;mso-width-percent:0;mso-height-percent:0" o:hralign="center" o:hrstd="t" o:hr="t" fillcolor="#a0a0a0" stroked="f"/>
        </w:pict>
      </w:r>
    </w:p>
    <w:p w14:paraId="1EEB943B"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Factor 1: Benefits to Utility Customers</w:t>
      </w:r>
    </w:p>
    <w:p w14:paraId="073BA40E" w14:textId="5113ECC5" w:rsidR="00CD227C" w:rsidRPr="00CD227C" w:rsidRDefault="00F71C02" w:rsidP="00CD227C">
      <w:pPr>
        <w:spacing w:before="100" w:beforeAutospacing="1" w:after="100" w:afterAutospacing="1"/>
      </w:pPr>
      <w:r w:rsidRPr="00CD227C">
        <w:rPr>
          <w:rFonts w:ascii="Apple Color Emoji" w:hAnsi="Apple Color Emoji" w:cs="Apple Color Emoji"/>
        </w:rPr>
        <w:t>🔻</w:t>
      </w:r>
      <w:r w:rsidRPr="00CD227C">
        <w:t xml:space="preserve"> </w:t>
      </w:r>
      <w:r w:rsidRPr="00CD227C">
        <w:rPr>
          <w:b/>
          <w:bCs/>
        </w:rPr>
        <w:t>Concern</w:t>
      </w:r>
      <w:r w:rsidR="00CD227C" w:rsidRPr="00CD227C">
        <w:rPr>
          <w:b/>
          <w:bCs/>
        </w:rPr>
        <w:t>:</w:t>
      </w:r>
      <w:r w:rsidR="00CD227C" w:rsidRPr="00CD227C">
        <w:t xml:space="preserve"> There is no compelling evidence that utility customers would receive benefits such as lower rates, improved service, or equity protections under </w:t>
      </w:r>
      <w:r>
        <w:t>BCP</w:t>
      </w:r>
      <w:r w:rsidR="00CD227C" w:rsidRPr="00CD227C">
        <w:t xml:space="preserve"> ownership.</w:t>
      </w:r>
      <w:r>
        <w:t xml:space="preserve"> $2.27 every month for one year is not worth the risk of a company with no experience to speak. What we do know about their history doesn’t give us confidence they can do the job.</w:t>
      </w:r>
    </w:p>
    <w:p w14:paraId="161155C6" w14:textId="77777777" w:rsidR="00CD227C" w:rsidRPr="00CD227C" w:rsidRDefault="001F3C94" w:rsidP="00CD227C">
      <w:r>
        <w:rPr>
          <w:noProof/>
          <w14:ligatures w14:val="standardContextual"/>
        </w:rPr>
      </w:r>
      <w:r w:rsidR="001F3C94">
        <w:rPr>
          <w:noProof/>
          <w14:ligatures w14:val="standardContextual"/>
        </w:rPr>
        <w:pict w14:anchorId="0C655A21">
          <v:rect id="_x0000_i1027" alt="" style="width:468pt;height:.05pt;mso-width-percent:0;mso-height-percent:0;mso-width-percent:0;mso-height-percent:0" o:hralign="center" o:hrstd="t" o:hr="t" fillcolor="#a0a0a0" stroked="f"/>
        </w:pict>
      </w:r>
    </w:p>
    <w:p w14:paraId="3214589C"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Factor 2: Preservation of Commission Jurisdiction</w:t>
      </w:r>
    </w:p>
    <w:p w14:paraId="51981DAE" w14:textId="36E2864A" w:rsidR="00CD227C" w:rsidRPr="00CD227C" w:rsidRDefault="00F71C02" w:rsidP="00CD227C">
      <w:pPr>
        <w:spacing w:before="100" w:beforeAutospacing="1" w:after="100" w:afterAutospacing="1"/>
      </w:pPr>
      <w:r w:rsidRPr="00CD227C">
        <w:rPr>
          <w:rFonts w:ascii="Apple Color Emoji" w:hAnsi="Apple Color Emoji" w:cs="Apple Color Emoji"/>
        </w:rPr>
        <w:t>🔻</w:t>
      </w:r>
      <w:r w:rsidRPr="00CD227C">
        <w:t xml:space="preserve"> </w:t>
      </w:r>
      <w:r w:rsidRPr="00CD227C">
        <w:rPr>
          <w:b/>
          <w:bCs/>
        </w:rPr>
        <w:t>Concern:</w:t>
      </w:r>
      <w:r w:rsidRPr="00CD227C">
        <w:t xml:space="preserve"> </w:t>
      </w:r>
      <w:r w:rsidR="00CD227C" w:rsidRPr="00CD227C">
        <w:t xml:space="preserve">While there is no direct evidence in the documents suggesting that PRC jurisdiction would be undermined, </w:t>
      </w:r>
      <w:r>
        <w:t>BCP</w:t>
      </w:r>
      <w:r w:rsidR="00CD227C" w:rsidRPr="00CD227C">
        <w:t xml:space="preserve">’s </w:t>
      </w:r>
      <w:r w:rsidR="00CD227C" w:rsidRPr="00CD227C">
        <w:rPr>
          <w:b/>
          <w:bCs/>
        </w:rPr>
        <w:t>complex corporate structure</w:t>
      </w:r>
      <w:r w:rsidR="00CD227C" w:rsidRPr="00CD227C">
        <w:t xml:space="preserve"> and </w:t>
      </w:r>
      <w:r w:rsidR="00CD227C" w:rsidRPr="00CD227C">
        <w:rPr>
          <w:b/>
          <w:bCs/>
        </w:rPr>
        <w:t>opaque asset control</w:t>
      </w:r>
      <w:r w:rsidR="00CD227C" w:rsidRPr="00CD227C">
        <w:t xml:space="preserve">—highlighted in the </w:t>
      </w:r>
      <w:r>
        <w:t xml:space="preserve">way they’ve conducted their case here </w:t>
      </w:r>
      <w:r w:rsidR="00CD227C" w:rsidRPr="00CD227C">
        <w:t>—make regulatory transparency more difficult.</w:t>
      </w:r>
      <w:r>
        <w:t xml:space="preserve"> Additionally, their reliance on “trade secrets” and “no-disclosure agreements” like in the Meta case in Louisiana makes us suspect. They call themselves “private equity” because they will keep as much of their business hidden from the public as possible.</w:t>
      </w:r>
    </w:p>
    <w:p w14:paraId="53B78137" w14:textId="77777777" w:rsidR="00CD227C" w:rsidRPr="00CD227C" w:rsidRDefault="001F3C94" w:rsidP="00CD227C">
      <w:r>
        <w:rPr>
          <w:noProof/>
          <w14:ligatures w14:val="standardContextual"/>
        </w:rPr>
      </w:r>
      <w:r w:rsidR="001F3C94">
        <w:rPr>
          <w:noProof/>
          <w14:ligatures w14:val="standardContextual"/>
        </w:rPr>
        <w:pict w14:anchorId="422B3780">
          <v:rect id="_x0000_i1028" alt="" style="width:468pt;height:.05pt;mso-width-percent:0;mso-height-percent:0;mso-width-percent:0;mso-height-percent:0" o:hralign="center" o:hrstd="t" o:hr="t" fillcolor="#a0a0a0" stroked="f"/>
        </w:pict>
      </w:r>
    </w:p>
    <w:p w14:paraId="41E4EF20"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Factor 3: Quality of Service</w:t>
      </w:r>
    </w:p>
    <w:p w14:paraId="4640BC19" w14:textId="20B78548" w:rsidR="00CD227C" w:rsidRDefault="00CD227C" w:rsidP="00CD227C">
      <w:pPr>
        <w:spacing w:before="100" w:beforeAutospacing="1" w:after="100" w:afterAutospacing="1"/>
      </w:pPr>
      <w:r w:rsidRPr="00CD227C">
        <w:rPr>
          <w:rFonts w:ascii="Apple Color Emoji" w:hAnsi="Apple Color Emoji" w:cs="Apple Color Emoji"/>
        </w:rPr>
        <w:t>🔻</w:t>
      </w:r>
      <w:r w:rsidRPr="00CD227C">
        <w:t xml:space="preserve"> </w:t>
      </w:r>
      <w:r w:rsidRPr="00CD227C">
        <w:rPr>
          <w:b/>
          <w:bCs/>
        </w:rPr>
        <w:t>Concern:</w:t>
      </w:r>
      <w:r w:rsidRPr="00CD227C">
        <w:t xml:space="preserve"> There is a legitimate concern that quality of utility service could decline under </w:t>
      </w:r>
      <w:r w:rsidR="00F71C02">
        <w:t>BCP</w:t>
      </w:r>
      <w:r w:rsidRPr="00CD227C">
        <w:t xml:space="preserve"> ownership if similar practices </w:t>
      </w:r>
      <w:r w:rsidR="00F71C02">
        <w:t xml:space="preserve">to their ownership of the water utility (feces in the water) </w:t>
      </w:r>
      <w:r w:rsidRPr="00CD227C">
        <w:t>are applied</w:t>
      </w:r>
      <w:r w:rsidR="00F71C02">
        <w:t xml:space="preserve"> here.</w:t>
      </w:r>
    </w:p>
    <w:p w14:paraId="519D625B" w14:textId="1F8A64CA" w:rsidR="00F71C02" w:rsidRPr="00CD227C" w:rsidRDefault="00F71C02" w:rsidP="00CD227C">
      <w:pPr>
        <w:spacing w:before="100" w:beforeAutospacing="1" w:after="100" w:afterAutospacing="1"/>
      </w:pPr>
      <w:r>
        <w:t>Another concern is reneging on climate goals – we don’t need gas expansion with data centers.</w:t>
      </w:r>
    </w:p>
    <w:p w14:paraId="3C7CF688" w14:textId="77777777" w:rsidR="00CD227C" w:rsidRPr="00CD227C" w:rsidRDefault="001F3C94" w:rsidP="00CD227C">
      <w:r>
        <w:rPr>
          <w:noProof/>
          <w14:ligatures w14:val="standardContextual"/>
        </w:rPr>
      </w:r>
      <w:r w:rsidR="001F3C94">
        <w:rPr>
          <w:noProof/>
          <w14:ligatures w14:val="standardContextual"/>
        </w:rPr>
        <w:pict w14:anchorId="1B0B9711">
          <v:rect id="_x0000_i1029" alt="" style="width:468pt;height:.05pt;mso-width-percent:0;mso-height-percent:0;mso-width-percent:0;mso-height-percent:0" o:hralign="center" o:hrstd="t" o:hr="t" fillcolor="#a0a0a0" stroked="f"/>
        </w:pict>
      </w:r>
    </w:p>
    <w:p w14:paraId="210A8504"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Factor 4: Improper Subsidization of Non-Utility Activities</w:t>
      </w:r>
    </w:p>
    <w:p w14:paraId="5D07B3DC" w14:textId="3B9C5E5B" w:rsidR="00CD227C" w:rsidRPr="00CD227C" w:rsidRDefault="00CD227C" w:rsidP="00F71C02">
      <w:pPr>
        <w:spacing w:before="100" w:beforeAutospacing="1" w:after="100" w:afterAutospacing="1"/>
      </w:pPr>
      <w:r w:rsidRPr="00CD227C">
        <w:rPr>
          <w:rFonts w:ascii="Apple Color Emoji" w:hAnsi="Apple Color Emoji" w:cs="Apple Color Emoji"/>
        </w:rPr>
        <w:t>🔻</w:t>
      </w:r>
      <w:r w:rsidRPr="00CD227C">
        <w:t xml:space="preserve"> </w:t>
      </w:r>
      <w:r w:rsidRPr="00CD227C">
        <w:rPr>
          <w:b/>
          <w:bCs/>
        </w:rPr>
        <w:t>Concern:</w:t>
      </w:r>
      <w:r w:rsidRPr="00CD227C">
        <w:t xml:space="preserve"> </w:t>
      </w:r>
      <w:r w:rsidR="00F71C02">
        <w:t>BCP</w:t>
      </w:r>
      <w:r w:rsidRPr="00CD227C">
        <w:t xml:space="preserve">’s </w:t>
      </w:r>
      <w:r w:rsidR="00F71C02">
        <w:t xml:space="preserve">(Entergy) </w:t>
      </w:r>
      <w:r w:rsidRPr="00CD227C">
        <w:rPr>
          <w:b/>
          <w:bCs/>
        </w:rPr>
        <w:t>conflicts of interest</w:t>
      </w:r>
      <w:r w:rsidRPr="00CD227C">
        <w:t xml:space="preserve"> </w:t>
      </w:r>
      <w:r w:rsidR="00F71C02">
        <w:t>with the Meta deal in Louisiana – charging Meta for the 3 new gas plants needed to power the data centers but charging ALL ratepayers the $550 Million for transmission upgrades. This isn’t fair, consistent with climate or environmental goals and will cause rates to increase dramatically.</w:t>
      </w:r>
    </w:p>
    <w:p w14:paraId="0B8BDB16" w14:textId="77777777" w:rsidR="00CD227C" w:rsidRPr="00CD227C" w:rsidRDefault="001F3C94" w:rsidP="00CD227C">
      <w:r>
        <w:rPr>
          <w:noProof/>
          <w14:ligatures w14:val="standardContextual"/>
        </w:rPr>
        <w:lastRenderedPageBreak/>
      </w:r>
      <w:r w:rsidR="001F3C94">
        <w:rPr>
          <w:noProof/>
          <w14:ligatures w14:val="standardContextual"/>
        </w:rPr>
        <w:pict w14:anchorId="2667ACCD">
          <v:rect id="_x0000_i1030" alt="" style="width:468pt;height:.05pt;mso-width-percent:0;mso-height-percent:0;mso-width-percent:0;mso-height-percent:0" o:hralign="center" o:hrstd="t" o:hr="t" fillcolor="#a0a0a0" stroked="f"/>
        </w:pict>
      </w:r>
    </w:p>
    <w:p w14:paraId="0F609E82"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Factor 5: Qualifications and Financial Health of the New Owner</w:t>
      </w:r>
    </w:p>
    <w:p w14:paraId="3D320566" w14:textId="795FE2D2" w:rsidR="00F71C02" w:rsidRDefault="00F71C02" w:rsidP="00F71C02">
      <w:r w:rsidRPr="00CD227C">
        <w:rPr>
          <w:rFonts w:ascii="Apple Color Emoji" w:hAnsi="Apple Color Emoji" w:cs="Apple Color Emoji"/>
        </w:rPr>
        <w:t>🔻</w:t>
      </w:r>
      <w:r w:rsidRPr="00CD227C">
        <w:t xml:space="preserve"> </w:t>
      </w:r>
      <w:r w:rsidRPr="00CD227C">
        <w:rPr>
          <w:b/>
          <w:bCs/>
        </w:rPr>
        <w:t>Concern:</w:t>
      </w:r>
      <w:r w:rsidRPr="00CD227C">
        <w:t xml:space="preserve"> </w:t>
      </w:r>
      <w:r w:rsidRPr="00F71C02">
        <w:rPr>
          <w:b/>
          <w:bCs/>
        </w:rPr>
        <w:t>BCP’s Financial Scale Is a Fraction of Emera’s</w:t>
      </w:r>
      <w:r>
        <w:rPr>
          <w:b/>
          <w:bCs/>
        </w:rPr>
        <w:t xml:space="preserve"> </w:t>
      </w:r>
      <w:r w:rsidRPr="00F71C02">
        <w:t>(the current owner)</w:t>
      </w:r>
      <w:r w:rsidRPr="00F71C02">
        <w:t>.</w:t>
      </w:r>
      <w:r w:rsidRPr="00F71C02">
        <w:rPr>
          <w:b/>
          <w:bCs/>
        </w:rPr>
        <w:t xml:space="preserve"> </w:t>
      </w:r>
      <w:r w:rsidRPr="00F71C02">
        <w:t xml:space="preserve">BCP’s infrastructure funds hold roughly </w:t>
      </w:r>
      <w:r w:rsidRPr="00F71C02">
        <w:rPr>
          <w:b/>
          <w:bCs/>
        </w:rPr>
        <w:t>$455 million in assets</w:t>
      </w:r>
      <w:r w:rsidRPr="00F71C02">
        <w:t xml:space="preserve"> with a </w:t>
      </w:r>
      <w:r w:rsidRPr="00F71C02">
        <w:rPr>
          <w:i/>
          <w:iCs/>
        </w:rPr>
        <w:t>goal</w:t>
      </w:r>
      <w:r w:rsidRPr="00F71C02">
        <w:t xml:space="preserve"> of $2 billion by 2026 — less than </w:t>
      </w:r>
      <w:r w:rsidRPr="00F71C02">
        <w:rPr>
          <w:b/>
          <w:bCs/>
        </w:rPr>
        <w:t>5 percent</w:t>
      </w:r>
      <w:r w:rsidRPr="00F71C02">
        <w:t xml:space="preserve"> of current owner Emera’s </w:t>
      </w:r>
      <w:r w:rsidRPr="00F71C02">
        <w:rPr>
          <w:b/>
          <w:bCs/>
        </w:rPr>
        <w:t>$43 billion</w:t>
      </w:r>
      <w:r w:rsidRPr="00F71C02">
        <w:t xml:space="preserve"> balance sheet.</w:t>
      </w:r>
    </w:p>
    <w:p w14:paraId="6650D7B5" w14:textId="77777777" w:rsidR="00BC358A" w:rsidRDefault="00BC358A" w:rsidP="00F71C02"/>
    <w:p w14:paraId="7643A856" w14:textId="396A4569" w:rsidR="00BC358A" w:rsidRPr="00BC358A" w:rsidRDefault="00BC358A" w:rsidP="00BC358A">
      <w:r w:rsidRPr="00CD227C">
        <w:rPr>
          <w:rFonts w:ascii="Apple Color Emoji" w:hAnsi="Apple Color Emoji" w:cs="Apple Color Emoji"/>
        </w:rPr>
        <w:t>🔻</w:t>
      </w:r>
      <w:r w:rsidRPr="00CD227C">
        <w:t xml:space="preserve"> </w:t>
      </w:r>
      <w:r w:rsidRPr="00CD227C">
        <w:rPr>
          <w:b/>
          <w:bCs/>
        </w:rPr>
        <w:t>Concern:</w:t>
      </w:r>
      <w:r w:rsidRPr="00CD227C">
        <w:t xml:space="preserve"> </w:t>
      </w:r>
      <w:r w:rsidRPr="00BC358A">
        <w:rPr>
          <w:b/>
          <w:bCs/>
        </w:rPr>
        <w:t>A History of Violations.</w:t>
      </w:r>
      <w:r w:rsidRPr="00BC358A">
        <w:t xml:space="preserve"> Testimony revealed that Emera did not bother to inquire about these fines/penalties when it accepted BCP’s buyout offer, and neither did the company disclose these violations as part of the application. Meaning that neither Emera, the parent company for NMGC, failed to properly vet the qualifications of the new buyer, BCP, </w:t>
      </w:r>
      <w:r w:rsidRPr="00BC358A">
        <w:rPr>
          <w:i/>
          <w:iCs/>
        </w:rPr>
        <w:t>before</w:t>
      </w:r>
      <w:r w:rsidRPr="00BC358A">
        <w:t xml:space="preserve"> engaging in negotiations for the acquisition. </w:t>
      </w:r>
      <w:r>
        <w:t>What we do know, does not bode well. We have a right to review BCP’s resume before they own our gas company.</w:t>
      </w:r>
    </w:p>
    <w:p w14:paraId="56CCC621" w14:textId="77777777" w:rsidR="00BC358A" w:rsidRDefault="00BC358A" w:rsidP="00F71C02"/>
    <w:p w14:paraId="477EE5DA" w14:textId="77777777" w:rsidR="00F71C02" w:rsidRPr="00F71C02" w:rsidRDefault="00F71C02" w:rsidP="00F71C02"/>
    <w:p w14:paraId="6110CF56" w14:textId="4305F34B" w:rsidR="00CD227C" w:rsidRPr="00CD227C" w:rsidRDefault="001F3C94" w:rsidP="00CD227C">
      <w:r>
        <w:rPr>
          <w:noProof/>
          <w14:ligatures w14:val="standardContextual"/>
        </w:rPr>
      </w:r>
      <w:r w:rsidR="001F3C94">
        <w:rPr>
          <w:noProof/>
          <w14:ligatures w14:val="standardContextual"/>
        </w:rPr>
        <w:pict w14:anchorId="71664502">
          <v:rect id="_x0000_i1031" alt="" style="width:468pt;height:.05pt;mso-width-percent:0;mso-height-percent:0;mso-width-percent:0;mso-height-percent:0" o:hralign="center" o:hrstd="t" o:hr="t" fillcolor="#a0a0a0" stroked="f"/>
        </w:pict>
      </w:r>
    </w:p>
    <w:p w14:paraId="5CEEEFA1"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Factor 6: Adequacy of Customer Protections Against Harm</w:t>
      </w:r>
    </w:p>
    <w:p w14:paraId="556BE813" w14:textId="77777777" w:rsidR="00CD227C" w:rsidRPr="00CD227C" w:rsidRDefault="00CD227C" w:rsidP="00CD227C">
      <w:pPr>
        <w:spacing w:before="100" w:beforeAutospacing="1" w:after="100" w:afterAutospacing="1"/>
      </w:pPr>
      <w:r w:rsidRPr="00CD227C">
        <w:rPr>
          <w:rFonts w:ascii="Apple Color Emoji" w:hAnsi="Apple Color Emoji" w:cs="Apple Color Emoji"/>
        </w:rPr>
        <w:t>🔻</w:t>
      </w:r>
      <w:r w:rsidRPr="00CD227C">
        <w:t xml:space="preserve"> </w:t>
      </w:r>
      <w:r w:rsidRPr="00CD227C">
        <w:rPr>
          <w:b/>
          <w:bCs/>
        </w:rPr>
        <w:t>Concern:</w:t>
      </w:r>
      <w:r w:rsidRPr="00CD227C">
        <w:t xml:space="preserve"> The historical patterns documented raise red flags:</w:t>
      </w:r>
    </w:p>
    <w:p w14:paraId="5345C86B" w14:textId="77777777" w:rsidR="00BC358A" w:rsidRPr="00BC358A" w:rsidRDefault="00BC358A" w:rsidP="00BC358A">
      <w:r w:rsidRPr="00BC358A">
        <w:rPr>
          <w:b/>
          <w:bCs/>
        </w:rPr>
        <w:t xml:space="preserve">BCP is A Build-As-You-GO Operation! Fine for Legos, But Not a Good Plan for our Gas Utility. </w:t>
      </w:r>
      <w:r w:rsidRPr="00BC358A">
        <w:t xml:space="preserve">BCP’s management has virtually none of the operational experience required to run a natural gas utility serving over 550,000 customers. Its newly formed subsidiary, Delta Utilities, is still integrating recently acquired gas utilities in Louisiana and Mississippi and remains “in the start-up phase”. </w:t>
      </w:r>
    </w:p>
    <w:p w14:paraId="1BED72CC" w14:textId="77777777" w:rsidR="00CD227C" w:rsidRPr="00CD227C" w:rsidRDefault="001F3C94" w:rsidP="00CD227C">
      <w:r>
        <w:rPr>
          <w:noProof/>
          <w14:ligatures w14:val="standardContextual"/>
        </w:rPr>
      </w:r>
      <w:r w:rsidR="001F3C94">
        <w:rPr>
          <w:noProof/>
          <w14:ligatures w14:val="standardContextual"/>
        </w:rPr>
        <w:pict w14:anchorId="69F82E55">
          <v:rect id="_x0000_i1032" alt="" style="width:468pt;height:.05pt;mso-width-percent:0;mso-height-percent:0;mso-width-percent:0;mso-height-percent:0" o:hralign="center" o:hrstd="t" o:hr="t" fillcolor="#a0a0a0" stroked="f"/>
        </w:pict>
      </w:r>
    </w:p>
    <w:p w14:paraId="7F59B6A0" w14:textId="77777777" w:rsidR="00CD227C" w:rsidRPr="00CD227C" w:rsidRDefault="00CD227C" w:rsidP="00CD227C">
      <w:pPr>
        <w:spacing w:before="100" w:beforeAutospacing="1" w:after="100" w:afterAutospacing="1"/>
        <w:outlineLvl w:val="2"/>
        <w:rPr>
          <w:b/>
          <w:bCs/>
          <w:sz w:val="27"/>
          <w:szCs w:val="27"/>
        </w:rPr>
      </w:pPr>
      <w:r w:rsidRPr="00CD227C">
        <w:rPr>
          <w:b/>
          <w:bCs/>
          <w:sz w:val="27"/>
          <w:szCs w:val="27"/>
        </w:rPr>
        <w:t>Overall Assessment</w:t>
      </w:r>
    </w:p>
    <w:p w14:paraId="60DABDA1" w14:textId="7ACDAAEA" w:rsidR="00CD227C" w:rsidRPr="00CD227C" w:rsidRDefault="00CD227C" w:rsidP="00BC358A">
      <w:pPr>
        <w:spacing w:before="100" w:beforeAutospacing="1" w:after="100" w:afterAutospacing="1"/>
        <w:rPr>
          <w:b/>
          <w:bCs/>
          <w:sz w:val="27"/>
          <w:szCs w:val="27"/>
        </w:rPr>
      </w:pPr>
      <w:r w:rsidRPr="00CD227C">
        <w:t xml:space="preserve">Under the PRC’s framework, </w:t>
      </w:r>
      <w:r w:rsidR="00BC358A">
        <w:rPr>
          <w:b/>
          <w:bCs/>
        </w:rPr>
        <w:t>BCP</w:t>
      </w:r>
      <w:r w:rsidRPr="00CD227C">
        <w:rPr>
          <w:b/>
          <w:bCs/>
        </w:rPr>
        <w:t xml:space="preserve"> fails to demonstrate that it meets the public interest standard</w:t>
      </w:r>
      <w:r w:rsidR="00BC358A">
        <w:t xml:space="preserve">. </w:t>
      </w:r>
    </w:p>
    <w:p w14:paraId="31C21643" w14:textId="77777777" w:rsidR="00CD227C" w:rsidRDefault="00CD227C" w:rsidP="00CD227C">
      <w:pPr>
        <w:shd w:val="clear" w:color="auto" w:fill="FFFFFF"/>
      </w:pPr>
    </w:p>
    <w:sectPr w:rsidR="00CD2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0ACA"/>
    <w:multiLevelType w:val="multilevel"/>
    <w:tmpl w:val="5618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53FF"/>
    <w:multiLevelType w:val="hybridMultilevel"/>
    <w:tmpl w:val="825E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F3C62"/>
    <w:multiLevelType w:val="multilevel"/>
    <w:tmpl w:val="927E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B04A93"/>
    <w:multiLevelType w:val="multilevel"/>
    <w:tmpl w:val="622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72832"/>
    <w:multiLevelType w:val="multilevel"/>
    <w:tmpl w:val="8E469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3B5F63"/>
    <w:multiLevelType w:val="multilevel"/>
    <w:tmpl w:val="37A6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0B24D4"/>
    <w:multiLevelType w:val="multilevel"/>
    <w:tmpl w:val="2E72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5D360E"/>
    <w:multiLevelType w:val="multilevel"/>
    <w:tmpl w:val="C63C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14C68"/>
    <w:multiLevelType w:val="multilevel"/>
    <w:tmpl w:val="C7A0D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0B759A"/>
    <w:multiLevelType w:val="hybridMultilevel"/>
    <w:tmpl w:val="5E3216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555F3"/>
    <w:multiLevelType w:val="multilevel"/>
    <w:tmpl w:val="2FA2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D5851"/>
    <w:multiLevelType w:val="multilevel"/>
    <w:tmpl w:val="DDD6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332479">
    <w:abstractNumId w:val="4"/>
  </w:num>
  <w:num w:numId="2" w16cid:durableId="928466097">
    <w:abstractNumId w:val="5"/>
  </w:num>
  <w:num w:numId="3" w16cid:durableId="1633974651">
    <w:abstractNumId w:val="10"/>
  </w:num>
  <w:num w:numId="4" w16cid:durableId="430512067">
    <w:abstractNumId w:val="3"/>
  </w:num>
  <w:num w:numId="5" w16cid:durableId="573050987">
    <w:abstractNumId w:val="6"/>
  </w:num>
  <w:num w:numId="6" w16cid:durableId="99450491">
    <w:abstractNumId w:val="0"/>
  </w:num>
  <w:num w:numId="7" w16cid:durableId="1941403966">
    <w:abstractNumId w:val="11"/>
  </w:num>
  <w:num w:numId="8" w16cid:durableId="291249804">
    <w:abstractNumId w:val="8"/>
  </w:num>
  <w:num w:numId="9" w16cid:durableId="1407459508">
    <w:abstractNumId w:val="7"/>
  </w:num>
  <w:num w:numId="10" w16cid:durableId="154340835">
    <w:abstractNumId w:val="2"/>
  </w:num>
  <w:num w:numId="11" w16cid:durableId="1784306608">
    <w:abstractNumId w:val="9"/>
  </w:num>
  <w:num w:numId="12" w16cid:durableId="45865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71"/>
    <w:rsid w:val="001F3C94"/>
    <w:rsid w:val="0042780A"/>
    <w:rsid w:val="00444CB6"/>
    <w:rsid w:val="00582B71"/>
    <w:rsid w:val="005A5DDC"/>
    <w:rsid w:val="005B5709"/>
    <w:rsid w:val="00620158"/>
    <w:rsid w:val="00B6799D"/>
    <w:rsid w:val="00BC358A"/>
    <w:rsid w:val="00CD227C"/>
    <w:rsid w:val="00F7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0927"/>
  <w15:chartTrackingRefBased/>
  <w15:docId w15:val="{4F18A702-F6C3-934F-940F-ADFE069F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8A"/>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582B71"/>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2B7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82B71"/>
    <w:pPr>
      <w:spacing w:before="100" w:beforeAutospacing="1" w:after="100" w:afterAutospacing="1"/>
    </w:pPr>
  </w:style>
  <w:style w:type="character" w:styleId="Strong">
    <w:name w:val="Strong"/>
    <w:basedOn w:val="DefaultParagraphFont"/>
    <w:uiPriority w:val="22"/>
    <w:qFormat/>
    <w:rsid w:val="00582B71"/>
    <w:rPr>
      <w:b/>
      <w:bCs/>
    </w:rPr>
  </w:style>
  <w:style w:type="paragraph" w:styleId="ListParagraph">
    <w:name w:val="List Paragraph"/>
    <w:basedOn w:val="Normal"/>
    <w:uiPriority w:val="34"/>
    <w:qFormat/>
    <w:rsid w:val="00CD2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7248">
      <w:bodyDiv w:val="1"/>
      <w:marLeft w:val="0"/>
      <w:marRight w:val="0"/>
      <w:marTop w:val="0"/>
      <w:marBottom w:val="0"/>
      <w:divBdr>
        <w:top w:val="none" w:sz="0" w:space="0" w:color="auto"/>
        <w:left w:val="none" w:sz="0" w:space="0" w:color="auto"/>
        <w:bottom w:val="none" w:sz="0" w:space="0" w:color="auto"/>
        <w:right w:val="none" w:sz="0" w:space="0" w:color="auto"/>
      </w:divBdr>
    </w:div>
    <w:div w:id="1364597078">
      <w:bodyDiv w:val="1"/>
      <w:marLeft w:val="0"/>
      <w:marRight w:val="0"/>
      <w:marTop w:val="0"/>
      <w:marBottom w:val="0"/>
      <w:divBdr>
        <w:top w:val="none" w:sz="0" w:space="0" w:color="auto"/>
        <w:left w:val="none" w:sz="0" w:space="0" w:color="auto"/>
        <w:bottom w:val="none" w:sz="0" w:space="0" w:color="auto"/>
        <w:right w:val="none" w:sz="0" w:space="0" w:color="auto"/>
      </w:divBdr>
      <w:divsChild>
        <w:div w:id="1368139274">
          <w:marLeft w:val="0"/>
          <w:marRight w:val="0"/>
          <w:marTop w:val="0"/>
          <w:marBottom w:val="0"/>
          <w:divBdr>
            <w:top w:val="none" w:sz="0" w:space="0" w:color="auto"/>
            <w:left w:val="none" w:sz="0" w:space="0" w:color="auto"/>
            <w:bottom w:val="none" w:sz="0" w:space="0" w:color="auto"/>
            <w:right w:val="none" w:sz="0" w:space="0" w:color="auto"/>
          </w:divBdr>
        </w:div>
        <w:div w:id="143932122">
          <w:marLeft w:val="0"/>
          <w:marRight w:val="0"/>
          <w:marTop w:val="0"/>
          <w:marBottom w:val="0"/>
          <w:divBdr>
            <w:top w:val="none" w:sz="0" w:space="0" w:color="auto"/>
            <w:left w:val="none" w:sz="0" w:space="0" w:color="auto"/>
            <w:bottom w:val="none" w:sz="0" w:space="0" w:color="auto"/>
            <w:right w:val="none" w:sz="0" w:space="0" w:color="auto"/>
          </w:divBdr>
        </w:div>
        <w:div w:id="1485973877">
          <w:marLeft w:val="0"/>
          <w:marRight w:val="0"/>
          <w:marTop w:val="0"/>
          <w:marBottom w:val="0"/>
          <w:divBdr>
            <w:top w:val="none" w:sz="0" w:space="0" w:color="auto"/>
            <w:left w:val="none" w:sz="0" w:space="0" w:color="auto"/>
            <w:bottom w:val="none" w:sz="0" w:space="0" w:color="auto"/>
            <w:right w:val="none" w:sz="0" w:space="0" w:color="auto"/>
          </w:divBdr>
        </w:div>
        <w:div w:id="114063527">
          <w:marLeft w:val="0"/>
          <w:marRight w:val="0"/>
          <w:marTop w:val="0"/>
          <w:marBottom w:val="0"/>
          <w:divBdr>
            <w:top w:val="none" w:sz="0" w:space="0" w:color="auto"/>
            <w:left w:val="none" w:sz="0" w:space="0" w:color="auto"/>
            <w:bottom w:val="none" w:sz="0" w:space="0" w:color="auto"/>
            <w:right w:val="none" w:sz="0" w:space="0" w:color="auto"/>
          </w:divBdr>
        </w:div>
        <w:div w:id="1440567865">
          <w:marLeft w:val="0"/>
          <w:marRight w:val="0"/>
          <w:marTop w:val="0"/>
          <w:marBottom w:val="0"/>
          <w:divBdr>
            <w:top w:val="none" w:sz="0" w:space="0" w:color="auto"/>
            <w:left w:val="none" w:sz="0" w:space="0" w:color="auto"/>
            <w:bottom w:val="none" w:sz="0" w:space="0" w:color="auto"/>
            <w:right w:val="none" w:sz="0" w:space="0" w:color="auto"/>
          </w:divBdr>
        </w:div>
        <w:div w:id="1747874673">
          <w:marLeft w:val="0"/>
          <w:marRight w:val="0"/>
          <w:marTop w:val="0"/>
          <w:marBottom w:val="0"/>
          <w:divBdr>
            <w:top w:val="none" w:sz="0" w:space="0" w:color="auto"/>
            <w:left w:val="none" w:sz="0" w:space="0" w:color="auto"/>
            <w:bottom w:val="none" w:sz="0" w:space="0" w:color="auto"/>
            <w:right w:val="none" w:sz="0" w:space="0" w:color="auto"/>
          </w:divBdr>
        </w:div>
        <w:div w:id="1813400590">
          <w:marLeft w:val="0"/>
          <w:marRight w:val="0"/>
          <w:marTop w:val="0"/>
          <w:marBottom w:val="0"/>
          <w:divBdr>
            <w:top w:val="none" w:sz="0" w:space="0" w:color="auto"/>
            <w:left w:val="none" w:sz="0" w:space="0" w:color="auto"/>
            <w:bottom w:val="none" w:sz="0" w:space="0" w:color="auto"/>
            <w:right w:val="none" w:sz="0" w:space="0" w:color="auto"/>
          </w:divBdr>
        </w:div>
        <w:div w:id="1323237459">
          <w:marLeft w:val="0"/>
          <w:marRight w:val="0"/>
          <w:marTop w:val="0"/>
          <w:marBottom w:val="0"/>
          <w:divBdr>
            <w:top w:val="none" w:sz="0" w:space="0" w:color="auto"/>
            <w:left w:val="none" w:sz="0" w:space="0" w:color="auto"/>
            <w:bottom w:val="none" w:sz="0" w:space="0" w:color="auto"/>
            <w:right w:val="none" w:sz="0" w:space="0" w:color="auto"/>
          </w:divBdr>
        </w:div>
        <w:div w:id="1823112892">
          <w:marLeft w:val="0"/>
          <w:marRight w:val="0"/>
          <w:marTop w:val="0"/>
          <w:marBottom w:val="0"/>
          <w:divBdr>
            <w:top w:val="none" w:sz="0" w:space="0" w:color="auto"/>
            <w:left w:val="none" w:sz="0" w:space="0" w:color="auto"/>
            <w:bottom w:val="none" w:sz="0" w:space="0" w:color="auto"/>
            <w:right w:val="none" w:sz="0" w:space="0" w:color="auto"/>
          </w:divBdr>
        </w:div>
        <w:div w:id="306320484">
          <w:marLeft w:val="0"/>
          <w:marRight w:val="0"/>
          <w:marTop w:val="0"/>
          <w:marBottom w:val="0"/>
          <w:divBdr>
            <w:top w:val="none" w:sz="0" w:space="0" w:color="auto"/>
            <w:left w:val="none" w:sz="0" w:space="0" w:color="auto"/>
            <w:bottom w:val="none" w:sz="0" w:space="0" w:color="auto"/>
            <w:right w:val="none" w:sz="0" w:space="0" w:color="auto"/>
          </w:divBdr>
        </w:div>
        <w:div w:id="1499885461">
          <w:marLeft w:val="0"/>
          <w:marRight w:val="0"/>
          <w:marTop w:val="0"/>
          <w:marBottom w:val="0"/>
          <w:divBdr>
            <w:top w:val="none" w:sz="0" w:space="0" w:color="auto"/>
            <w:left w:val="none" w:sz="0" w:space="0" w:color="auto"/>
            <w:bottom w:val="none" w:sz="0" w:space="0" w:color="auto"/>
            <w:right w:val="none" w:sz="0" w:space="0" w:color="auto"/>
          </w:divBdr>
        </w:div>
      </w:divsChild>
    </w:div>
    <w:div w:id="1897160538">
      <w:bodyDiv w:val="1"/>
      <w:marLeft w:val="0"/>
      <w:marRight w:val="0"/>
      <w:marTop w:val="0"/>
      <w:marBottom w:val="0"/>
      <w:divBdr>
        <w:top w:val="none" w:sz="0" w:space="0" w:color="auto"/>
        <w:left w:val="none" w:sz="0" w:space="0" w:color="auto"/>
        <w:bottom w:val="none" w:sz="0" w:space="0" w:color="auto"/>
        <w:right w:val="none" w:sz="0" w:space="0" w:color="auto"/>
      </w:divBdr>
    </w:div>
    <w:div w:id="21241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Nanasi</dc:creator>
  <cp:keywords/>
  <dc:description/>
  <cp:lastModifiedBy>Mariel Nanasi</cp:lastModifiedBy>
  <cp:revision>3</cp:revision>
  <dcterms:created xsi:type="dcterms:W3CDTF">2025-10-15T16:41:00Z</dcterms:created>
  <dcterms:modified xsi:type="dcterms:W3CDTF">2025-10-15T16:54:00Z</dcterms:modified>
</cp:coreProperties>
</file>